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24" w:rsidRDefault="00264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4B24" w:rsidRDefault="004A6D7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Жемчужина Карелии – Легендарный Валаам</w:t>
      </w:r>
    </w:p>
    <w:p w:rsidR="00264B24" w:rsidRDefault="00264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B24" w:rsidRDefault="004A6D76">
      <w:pPr>
        <w:rPr>
          <w:lang w:val="ru-RU"/>
        </w:rPr>
      </w:pPr>
      <w:r>
        <w:rPr>
          <w:lang w:val="ru-RU"/>
        </w:rPr>
        <w:t>Даты</w:t>
      </w:r>
    </w:p>
    <w:p w:rsidR="00264B24" w:rsidRDefault="004A6D76">
      <w:r>
        <w:rPr>
          <w:lang w:val="ru-RU"/>
        </w:rPr>
        <w:t xml:space="preserve">Май: </w:t>
      </w:r>
      <w:proofErr w:type="gramStart"/>
      <w:r>
        <w:t>08.05.2025 ,</w:t>
      </w:r>
      <w:proofErr w:type="gramEnd"/>
      <w:r>
        <w:t xml:space="preserve"> 09.05.2025 , 10.05.20</w:t>
      </w:r>
      <w:r>
        <w:t>25 , 11.05.2025 , 12.05.2025 , 13.05.2025 , 14.05.2025 , 15.05.2025 , 16.05.2025 , 17.05.2025 , 18.05.2025 , 19.05.2025 , 20.05.2025 , 21.05.2025 , 22.05.2025 , 23.05.2025 , 24.05.2025 , 25.05.2025 , 26.05.2025 , 27.05.2025 , 28.05.2025 , 29.05.2025 , 30.0</w:t>
      </w:r>
      <w:r>
        <w:t xml:space="preserve">5.2025 , 31.05.2025 </w:t>
      </w:r>
    </w:p>
    <w:p w:rsidR="00264B24" w:rsidRDefault="004A6D76">
      <w:r>
        <w:rPr>
          <w:lang w:val="ru-RU"/>
        </w:rPr>
        <w:t xml:space="preserve">Июнь: </w:t>
      </w:r>
      <w:proofErr w:type="gramStart"/>
      <w:r>
        <w:t>01.06.2025 ,</w:t>
      </w:r>
      <w:proofErr w:type="gramEnd"/>
      <w:r>
        <w:t xml:space="preserve"> 02.06.2025 , 03.06.2025 , 04.06.2025 , 05.06.2025 , 06.06.2025 , 07.06.2025 , 08.06.2025 , 09.06.2025 , 10.06.2025 , 11.06.2025 , 12.06.2025 , 13.06.2025 , 14.06.2025 , 15.06.2025 , 16.06.2025 , 17.06.2025 , 18.06.20</w:t>
      </w:r>
      <w:r>
        <w:t xml:space="preserve">25 , 19.06.2025 , 20.06.2025 , 21.06.2025 , 22.06.2025 , 23.06.2025 , 24.06.2025 , 25.06.2025 , 26.06.2025 , 27.06.2025 , 28.06.2025 , 29.06.2025 , 30.06.2025 </w:t>
      </w:r>
    </w:p>
    <w:p w:rsidR="00264B24" w:rsidRDefault="004A6D76">
      <w:r>
        <w:rPr>
          <w:lang w:val="ru-RU"/>
        </w:rPr>
        <w:t>Июль:</w:t>
      </w:r>
      <w:r>
        <w:t xml:space="preserve"> </w:t>
      </w:r>
      <w:proofErr w:type="gramStart"/>
      <w:r>
        <w:t>01.07.2025 ,</w:t>
      </w:r>
      <w:proofErr w:type="gramEnd"/>
      <w:r>
        <w:t xml:space="preserve"> 02.07.2025 , 03.07.2025 , 04.07.2025 , 05.07.2025 , 06.07.2025 , 07.07.2025 ,</w:t>
      </w:r>
      <w:r>
        <w:t xml:space="preserve"> 08.07.2025 , 09.07.2025 , 10.07.2025 , 11.07.2025 , 12.07.2025 , 13.07.2025 , 14.07.2025 , 15.07.2025 , 16.07.2025 , 17.07.2025 , 18.07.2025 , 19.07.2025 , 20.07.2025 , 21.07.2025 , 22.07.2025 , 23.07.2025 , 24.07.2025 , 25.07.2025 , 26.07.2025 , 27.07.20</w:t>
      </w:r>
      <w:r>
        <w:t xml:space="preserve">25 , 28.07.2025 , 29.07.2025 , 30.07.2025 , 31.07.2025 </w:t>
      </w:r>
    </w:p>
    <w:p w:rsidR="00264B24" w:rsidRDefault="004A6D76">
      <w:r>
        <w:rPr>
          <w:lang w:val="ru-RU"/>
        </w:rPr>
        <w:t xml:space="preserve">Август: </w:t>
      </w:r>
      <w:proofErr w:type="gramStart"/>
      <w:r>
        <w:t>01.08.2025 ,</w:t>
      </w:r>
      <w:proofErr w:type="gramEnd"/>
      <w:r>
        <w:t xml:space="preserve"> 02.08.2025 , 03.08.2025 , 04.08.2025 , 05.08.2025 , 06.08.2025 , 07.08.2025 , 08.08.2025 , 09.08.2025 , 10.08.2025 , 11.08.2025 , 12.08.2025 , 13.08.2025 , 14.08.2025 , 15.08.2025</w:t>
      </w:r>
      <w:r>
        <w:t xml:space="preserve"> , 16.08.2025 , 17.08.2025 , 18.08.2025 , 19.08.2025 , 20.08.2025 , 21.08.2025 , 22.08.2025 , 23.08.2025 , 24.08.2025 , 25.08.2025 , 26.08.2025 , 27.08.2025 , 28.08.2025 , 29.08.2025 , 30.08.2025 , 31.08.2025 </w:t>
      </w:r>
    </w:p>
    <w:p w:rsidR="00264B24" w:rsidRDefault="004A6D76">
      <w:r>
        <w:rPr>
          <w:lang w:val="ru-RU"/>
        </w:rPr>
        <w:t xml:space="preserve">Сентябрь: </w:t>
      </w:r>
      <w:proofErr w:type="gramStart"/>
      <w:r>
        <w:t>01.09.2025 ,</w:t>
      </w:r>
      <w:proofErr w:type="gramEnd"/>
      <w:r>
        <w:t xml:space="preserve"> 02.09.2025 , 03.09.2025</w:t>
      </w:r>
      <w:r>
        <w:t xml:space="preserve"> , 04.09.2025 , 05.09.2025 , 06.09.2025 , 07.09.2025 , 08.09.2025 , 09.09.2025 , 10.09.2025 , 11.09.2025 , 12.09.2025 , 13.09.2025 , 14.09.2025 , 15.09.2025 , 16.09.2025 , 17.09.2025 , 18.09.2025 , 19.09.2025 , 20.09.2025 , 21.09.2025</w:t>
      </w: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особенности тура:</w:t>
      </w: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4A6D76">
      <w:pPr>
        <w:spacing w:line="240" w:lineRule="auto"/>
        <w:rPr>
          <w:sz w:val="21"/>
          <w:szCs w:val="21"/>
        </w:rPr>
      </w:pPr>
      <w:r>
        <w:rPr>
          <w:rFonts w:ascii="Fira Mono" w:eastAsia="Fira Mono" w:hAnsi="Fira Mono" w:cs="Fira Mono"/>
          <w:b/>
          <w:sz w:val="21"/>
          <w:szCs w:val="21"/>
        </w:rPr>
        <w:t>⬤</w:t>
      </w:r>
      <w:r>
        <w:rPr>
          <w:rFonts w:ascii="Fira Mono" w:eastAsia="Fira Mono" w:hAnsi="Fira Mono" w:cs="Fira Mono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Целый день, посвященный объектам святого острова Валаам – от Валаамского монастыря до Никольского скита!</w:t>
      </w:r>
    </w:p>
    <w:p w:rsidR="00264B24" w:rsidRDefault="004A6D76">
      <w:pPr>
        <w:spacing w:line="240" w:lineRule="auto"/>
        <w:rPr>
          <w:sz w:val="21"/>
          <w:szCs w:val="21"/>
        </w:rPr>
      </w:pPr>
      <w:r>
        <w:rPr>
          <w:rFonts w:ascii="Fira Mono" w:eastAsia="Fira Mono" w:hAnsi="Fira Mono" w:cs="Fira Mono"/>
          <w:b/>
          <w:sz w:val="21"/>
          <w:szCs w:val="21"/>
        </w:rPr>
        <w:t>⬤</w:t>
      </w:r>
      <w:r>
        <w:rPr>
          <w:rFonts w:ascii="Fira Mono" w:eastAsia="Fira Mono" w:hAnsi="Fira Mono" w:cs="Fira Mono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Сопровождение местного гида по территории Валаама</w:t>
      </w:r>
    </w:p>
    <w:p w:rsidR="00264B24" w:rsidRDefault="004A6D76">
      <w:pPr>
        <w:spacing w:line="240" w:lineRule="auto"/>
        <w:rPr>
          <w:sz w:val="21"/>
          <w:szCs w:val="21"/>
        </w:rPr>
      </w:pPr>
      <w:r>
        <w:rPr>
          <w:rFonts w:ascii="Fira Mono" w:eastAsia="Fira Mono" w:hAnsi="Fira Mono" w:cs="Fira Mono"/>
          <w:b/>
          <w:sz w:val="21"/>
          <w:szCs w:val="21"/>
        </w:rPr>
        <w:t>⬤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Трансфер до о. Валаам и обратно – скоростной теплоход «Метеор» – включен в стоимость.</w:t>
      </w: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Fira Mono" w:eastAsia="Fira Mono" w:hAnsi="Fira Mono" w:cs="Fira Mono"/>
          <w:b/>
          <w:sz w:val="21"/>
          <w:szCs w:val="21"/>
        </w:rPr>
        <w:t>⬤</w:t>
      </w:r>
      <w:r>
        <w:rPr>
          <w:rFonts w:ascii="Fira Mono" w:eastAsia="Fira Mono" w:hAnsi="Fira Mono" w:cs="Fira Mono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Традиционный обед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трапезной монастыря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будет готов к вашему приезду!</w:t>
      </w:r>
    </w:p>
    <w:p w:rsidR="00264B24" w:rsidRDefault="00264B2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Тур на один день с проездом на теплоходе до Валаама – одного из самых важных православных объект</w:t>
      </w:r>
      <w:r>
        <w:rPr>
          <w:rFonts w:ascii="Times New Roman" w:eastAsia="Times New Roman" w:hAnsi="Times New Roman" w:cs="Times New Roman"/>
          <w:sz w:val="24"/>
          <w:szCs w:val="24"/>
        </w:rPr>
        <w:t>ов России.</w:t>
      </w: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Программа на один день для тех, кто желает познакомиться со знаменитым святым местом – Валаамским монастырем. Он располагается на территории живописного архипелага в Ладожском озере, где красота природы гармонично соеди</w:t>
      </w:r>
      <w:r>
        <w:rPr>
          <w:rFonts w:ascii="Times New Roman" w:eastAsia="Times New Roman" w:hAnsi="Times New Roman" w:cs="Times New Roman"/>
          <w:sz w:val="24"/>
          <w:szCs w:val="24"/>
        </w:rPr>
        <w:t>няется с красотой архитектуры монастырского ансамбля. Вы быстро и с комфортом доберетесь до обители и обратно из Санкт-Петербурга. Трансфер включен в стоимость тура.</w:t>
      </w: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64B2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24" w:rsidRDefault="004A6D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INFO Внимание!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 частыми неблагоприятными погодными условиями на Ладожском озере, экскурсионная программа может начаться раньше или позже заявленного в туре времени, при этом полностью сохраняется объем предоставляемых услуг!</w:t>
            </w:r>
          </w:p>
          <w:p w:rsidR="00264B24" w:rsidRDefault="00264B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B24" w:rsidRDefault="004A6D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Точное время отправления вам будет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отправлено в СМС-сообщении накануне выезда.</w:t>
            </w:r>
          </w:p>
        </w:tc>
      </w:tr>
    </w:tbl>
    <w:p w:rsidR="00264B24" w:rsidRDefault="00264B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 и достопримечательности тура:</w:t>
      </w: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 – Приозерск – отправление на «Метеоре» до архипелага Валаам – первая часть экскурсии: остров Валаам,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-Преображенский монастырь, гора Фавор, Святые врат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Знаменская часовня – вторая часть экскурсии: Никольский скит, храм Николая Чудотворца, яблоневый сад – отправление на «Метеоре» до Приозерска – крепость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Кексгольм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– Санкт-Петербург</w:t>
      </w:r>
    </w:p>
    <w:tbl>
      <w:tblPr>
        <w:tblStyle w:val="StGen2"/>
        <w:tblW w:w="8880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8505"/>
      </w:tblGrid>
      <w:tr w:rsidR="00264B24">
        <w:trPr>
          <w:trHeight w:val="18899"/>
        </w:trPr>
        <w:tc>
          <w:tcPr>
            <w:tcW w:w="3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20" w:type="dxa"/>
              <w:left w:w="220" w:type="dxa"/>
              <w:bottom w:w="20" w:type="dxa"/>
              <w:right w:w="20" w:type="dxa"/>
            </w:tcMar>
          </w:tcPr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20" w:type="dxa"/>
              <w:left w:w="220" w:type="dxa"/>
              <w:bottom w:w="20" w:type="dxa"/>
              <w:right w:w="20" w:type="dxa"/>
            </w:tcMar>
          </w:tcPr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Полное описание тура: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br/>
            </w:r>
          </w:p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07:00 – Подача автобуса к ст. м. «Площ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адь Восстания»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посадки: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СПб., ст. м. «Площадь Восстания», Лиговский просп., 10</w:t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гостиница «Октябрьская», парковка вдоль тротуара от книжного магазина «Буквоед» до конца 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07:30 – Отправление автобуса от ст. м. «Площадь Восстания»</w:t>
            </w:r>
          </w:p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7:55 – Подача автобуса к ст. м. «Озерки»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посадки: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СПб., ст. м. «Озерки», Выборгское шоссе, остановка общественного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Ориентир: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супермаркет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 – Отправление автобуса от ст. м. «Озерки»</w:t>
            </w:r>
          </w:p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 – Прибытие в Приозерск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64B24" w:rsidRDefault="004A6D76">
            <w:pPr>
              <w:spacing w:after="16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 дороге вы познакомитесь с легендами Карельского перешейка, историей названий здешних мест, увидите знаменитые </w:t>
            </w:r>
            <w:proofErr w:type="spellStart"/>
            <w:r>
              <w:rPr>
                <w:sz w:val="21"/>
                <w:szCs w:val="21"/>
              </w:rPr>
              <w:t>Лосевские</w:t>
            </w:r>
            <w:proofErr w:type="spellEnd"/>
            <w:r>
              <w:rPr>
                <w:sz w:val="21"/>
                <w:szCs w:val="21"/>
              </w:rPr>
              <w:t xml:space="preserve"> пороги. Также мы сделаем остановку, где будет возможность купить чай или кофе, отдохнуть.</w:t>
            </w:r>
          </w:p>
          <w:p w:rsidR="00264B24" w:rsidRDefault="004A6D7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От причала в Приозерске до Валаама вы доберетесь на скоростном теплоходе «Метеор».</w:t>
            </w:r>
          </w:p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11:00 – Переезд на остров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Валаам  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«Метеоре»</w:t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Приблизительно за 1 час 15 минут вы пересечете Ладожское озеро на теплоходе. Полюбуйтесь на живописное побережье и приближаю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щиеся Валаамские острова, где вскоре продолжится ваше путешествие.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Style w:val="StGen3"/>
              <w:tblW w:w="826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265"/>
            </w:tblGrid>
            <w:tr w:rsidR="00264B24">
              <w:tc>
                <w:tcPr>
                  <w:tcW w:w="8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64B24" w:rsidRDefault="004A6D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случае неблагоприятных погодных условий (шторм и пр.) рейс может быть отменен. Если паломническая служба сообщила об отмене заранее, мы предложим вам другие даты тура. Если погодные ус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ловия ухудшились в день поездки, мы вернем стоимость транспортного, экскурсионного обслуживания и питания на о. Валаам.</w:t>
                  </w:r>
                </w:p>
              </w:tc>
            </w:tr>
          </w:tbl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StGen4"/>
              <w:tblW w:w="826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265"/>
            </w:tblGrid>
            <w:tr w:rsidR="00264B24">
              <w:tc>
                <w:tcPr>
                  <w:tcW w:w="8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64B24" w:rsidRDefault="004A6D76">
                  <w:pPr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INFO Внимание! В связи с частыми неблагоприятными погодными условиями на Ладожском озере, экскурсионная программа может начаться раньше или позже заявленного в туре времени, при этом полностью сохраняется объем предоставляемых услуг! Точное время отправлен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ия вам будет отправлено в СМС-сообщении накануне выезда.</w:t>
                  </w:r>
                </w:p>
                <w:p w:rsidR="00264B24" w:rsidRDefault="00264B24">
                  <w:pPr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64B24" w:rsidRDefault="004A6D76">
                  <w:pPr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отправления может быть следующим:</w:t>
                  </w:r>
                </w:p>
                <w:p w:rsidR="00264B24" w:rsidRDefault="004A6D76">
                  <w:pPr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Подача автобуса 4:45, отправление 5:00</w:t>
                  </w:r>
                </w:p>
                <w:p w:rsidR="00264B24" w:rsidRDefault="004A6D76">
                  <w:pPr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Подача автобуса 5:15, отправление 5:30</w:t>
                  </w:r>
                </w:p>
                <w:p w:rsidR="00264B24" w:rsidRDefault="004A6D76">
                  <w:pPr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Подача автобуса 7:15, отправление 7:30</w:t>
                  </w:r>
                </w:p>
                <w:p w:rsidR="00264B24" w:rsidRDefault="004A6D76">
                  <w:pPr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Подача автобуса 9:45, отправление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10:00</w:t>
                  </w:r>
                </w:p>
                <w:p w:rsidR="00264B24" w:rsidRDefault="004A6D76">
                  <w:pPr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Подача автобуса 10:15, отправление 10:30</w:t>
                  </w:r>
                </w:p>
                <w:p w:rsidR="00264B24" w:rsidRDefault="004A6D76">
                  <w:pPr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прибытия в Санкт-Петербург сдвигается относительно отправлению.</w:t>
                  </w:r>
                </w:p>
              </w:tc>
            </w:tr>
          </w:tbl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 – Пешеходная экскурсия по острову Валаам. Первая часть</w:t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первой части экскурсии – 2 часа. Увлекательную историю монастыря и прилегающих территорий вам расскажет гид. Вы подниметесь по святой лестнице на гору Фавор, откуда можно запечатлеть красочный вид на монастырь, сад, Монастырскую бухту.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увидите мраморную Знаменскую часовню, пройдете под сводами Святых врат, над которыми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располагается  Петропавловская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церковь.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Далее вас ждет прогулка в монастырское каре, к келейным корпусам, где живут монахи. Вы увидите старинную Успенскую трапезную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рковь и церковь Валаамской иконы Божией Матери. Особое внимание уделяется главному священному объекту – отреставрированному Свято-Преображенскому собору, где вы сможете поклониться мощам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валаамских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чудотворцев, основателей обители Сергия и Германа.</w:t>
            </w:r>
          </w:p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будет возможность послушать концерт певчих Валаамского монастыря и проникнуться одухотворенной красотой древней традиции знаменного церковного пения. Концерты проходят по выходным, праздникам и не только. В летние месяцы проводятся фестивали, когда певчие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съезжаются с разных уголков страны и даже мира. </w:t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 проведения вы можете уточнить на официальном сайте монастыря.</w:t>
            </w:r>
          </w:p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14:30 – Обед в трапезной монастыря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отведаете блюда монастырской трапезной. Обед включен в стоимость тура.</w:t>
            </w:r>
          </w:p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15:00 – Пешеходная экскурсия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острову Валаам. Вторая часть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второй части экскурсии – 1,5 часа. Ваш путь идет к Никольскому скиту через цепь островов, связанных между собой деревянными мостами. По дороге вы осмотрите яблоневый сад и монастырскую таможню. А уже в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мом Никольском скиту возвышается шатровый храм во имя святителя Николая Чудотворца с белоснежным келейным корпусом и гранитный поклонный крест. </w:t>
            </w:r>
          </w:p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StGen5"/>
              <w:tblW w:w="826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265"/>
            </w:tblGrid>
            <w:tr w:rsidR="00264B24">
              <w:tc>
                <w:tcPr>
                  <w:tcW w:w="8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64B24" w:rsidRDefault="004A6D76">
                  <w:pPr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Обратите внимание! Организаторы оставляют за собой право заменить экскурсию «Никольский скит» на экскурсию «Но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вый Иерусалим» .</w:t>
                  </w:r>
                </w:p>
              </w:tc>
            </w:tr>
          </w:tbl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17:30 – Переезд в г. Приозерск на «Метеоре»</w:t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Обратный путь идет через Ладожское озеро, таинственно красивое во время заката. Время до Приозерска займет около 1 часа 15 минут.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19:00 – Свободное время в Приозерске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насыщенной программы у вас будет свободное время, чтобы  прогуляться по городу или самостоятельно осмотреть древнюю крепость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19:30 – Отправление в Санкт-Петербург</w:t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возвращения в Санкт-Петербург: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остановка: 22: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– ст. м. «Озерки»</w:t>
            </w: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 остановка: 23:00 – ст. м. «Площадь Восстания»</w:t>
            </w:r>
          </w:p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B24" w:rsidRDefault="004A6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  <w:p w:rsidR="00264B24" w:rsidRDefault="004A6D76">
            <w:pPr>
              <w:pStyle w:val="5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ns8g6xl12zph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 покупке ж/д и авиабилетов настоятельно рекомендуем обратить внимание: время возвращения в Санкт-Петербург указано ориентировочное!</w:t>
            </w:r>
          </w:p>
          <w:p w:rsidR="00264B24" w:rsidRDefault="00264B2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64B24" w:rsidRDefault="004A6D7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Готовимся к поездке: </w:t>
            </w:r>
          </w:p>
          <w:p w:rsidR="00264B24" w:rsidRDefault="00264B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64B24" w:rsidRDefault="004A6D7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самом острове климат прохладнее, чем в городе. При выборе одежды стоит учесть, что вам предсто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ит переправа по озеру и длительное нахождение на открытом воздухе. </w:t>
            </w:r>
          </w:p>
          <w:p w:rsidR="00264B24" w:rsidRDefault="00264B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64B24" w:rsidRDefault="004A6D7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посещении внутренней территории соблюдаются правила: отсутствие головных уборов у мужчин, платки и юбки у женщин. Не разрешается открытая одежда: шорты, майки и т.п.</w:t>
            </w:r>
          </w:p>
          <w:p w:rsidR="00264B24" w:rsidRDefault="00264B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64B24" w:rsidRDefault="004A6D7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Также уделите вн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имание удобству обуви для пешей экскурсии по острову общей протяженностью около 3 километров. Но маршрут проходит по ровным дорожкам и не требует особых усилий.</w:t>
            </w:r>
          </w:p>
          <w:p w:rsidR="00264B24" w:rsidRDefault="00264B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64B24" w:rsidRDefault="00264B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Прайс: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12450 рублей (будни + ВС)</w:t>
      </w: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Прайс: </w:t>
      </w:r>
      <w:r>
        <w:rPr>
          <w:rFonts w:ascii="Times New Roman" w:eastAsia="Times New Roman" w:hAnsi="Times New Roman" w:cs="Times New Roman"/>
          <w:sz w:val="24"/>
          <w:szCs w:val="24"/>
        </w:rPr>
        <w:t>13650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(суббота)</w:t>
      </w: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4A6D76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Прайс по акции «Раннее бронирование» (при покупке 05.11.2024-31.01.2025 включительно), </w:t>
      </w:r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  <w:u w:val="single"/>
        </w:rPr>
        <w:t>оплата по РБ до 01.02.2025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:</w:t>
      </w: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- 11703 рублей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будни+ВС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- 12831 рублей (суббота)</w:t>
      </w: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Скидки и льготы:</w:t>
      </w: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StGen6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264B24">
        <w:tc>
          <w:tcPr>
            <w:tcW w:w="4692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4650 руб. </w:t>
            </w:r>
          </w:p>
        </w:tc>
      </w:tr>
      <w:tr w:rsidR="00264B24">
        <w:tc>
          <w:tcPr>
            <w:tcW w:w="4692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до 12 лет</w:t>
            </w:r>
          </w:p>
        </w:tc>
        <w:tc>
          <w:tcPr>
            <w:tcW w:w="4653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2325 руб. </w:t>
            </w:r>
          </w:p>
        </w:tc>
      </w:tr>
      <w:tr w:rsidR="00264B24">
        <w:trPr>
          <w:trHeight w:val="315"/>
        </w:trPr>
        <w:tc>
          <w:tcPr>
            <w:tcW w:w="4692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B24">
        <w:trPr>
          <w:trHeight w:val="210"/>
        </w:trPr>
        <w:tc>
          <w:tcPr>
            <w:tcW w:w="4692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653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руб. </w:t>
            </w:r>
          </w:p>
        </w:tc>
      </w:tr>
      <w:tr w:rsidR="00264B24">
        <w:trPr>
          <w:trHeight w:val="120"/>
        </w:trPr>
        <w:tc>
          <w:tcPr>
            <w:tcW w:w="4692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ВОВ, инвалиды 1 группы</w:t>
            </w:r>
          </w:p>
        </w:tc>
        <w:tc>
          <w:tcPr>
            <w:tcW w:w="4653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руб. </w:t>
            </w:r>
          </w:p>
        </w:tc>
      </w:tr>
    </w:tbl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9999"/>
        </w:rPr>
        <w:t>Скидки и льготы (выезды по субботам + 12.06.2025) до 31.08.2025:</w:t>
      </w: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Прайс: 13650</w:t>
      </w: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StGen7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264B24">
        <w:tc>
          <w:tcPr>
            <w:tcW w:w="4692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5150 руб. </w:t>
            </w:r>
          </w:p>
        </w:tc>
      </w:tr>
      <w:tr w:rsidR="00264B24">
        <w:tc>
          <w:tcPr>
            <w:tcW w:w="4692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до 12 лет</w:t>
            </w:r>
          </w:p>
        </w:tc>
        <w:tc>
          <w:tcPr>
            <w:tcW w:w="4653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2735 руб. </w:t>
            </w:r>
          </w:p>
        </w:tc>
      </w:tr>
      <w:tr w:rsidR="00264B24">
        <w:trPr>
          <w:trHeight w:val="315"/>
        </w:trPr>
        <w:tc>
          <w:tcPr>
            <w:tcW w:w="4692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B24">
        <w:tc>
          <w:tcPr>
            <w:tcW w:w="4692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653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руб. </w:t>
            </w:r>
          </w:p>
        </w:tc>
      </w:tr>
      <w:tr w:rsidR="00264B24">
        <w:tc>
          <w:tcPr>
            <w:tcW w:w="4692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ВОВ, инвалиды 1 группы</w:t>
            </w:r>
          </w:p>
        </w:tc>
        <w:tc>
          <w:tcPr>
            <w:tcW w:w="4653" w:type="dxa"/>
          </w:tcPr>
          <w:p w:rsidR="00264B24" w:rsidRDefault="004A6D76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руб. </w:t>
            </w:r>
          </w:p>
        </w:tc>
      </w:tr>
    </w:tbl>
    <w:p w:rsidR="00264B24" w:rsidRDefault="00264B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стоимость включено:</w:t>
      </w: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8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15"/>
      </w:tblGrid>
      <w:tr w:rsidR="00264B24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4B24" w:rsidRDefault="004A6D76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Билеты и экскурсии: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4B24" w:rsidRDefault="004A6D76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Услуги:</w:t>
            </w:r>
          </w:p>
        </w:tc>
      </w:tr>
      <w:tr w:rsidR="00264B24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4B24" w:rsidRDefault="004A6D76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Полная экскурсия по о. Валаам с посещением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Спасо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-Преображенского собора, Никольского скита, храма Николая Чудотворца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B24" w:rsidRDefault="004A6D76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Трансфер на комфортабельном автобусе (вместимость автобуса зависит от набора группы)</w:t>
            </w:r>
          </w:p>
          <w:p w:rsidR="00264B24" w:rsidRDefault="004A6D76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Трансфер на «Метеоре» по маршруту Приозерск – о. Валаам – Приозерск</w:t>
            </w:r>
          </w:p>
          <w:p w:rsidR="00264B24" w:rsidRDefault="004A6D76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Сопровождение лицензированного гида в автобусе</w:t>
            </w:r>
          </w:p>
          <w:p w:rsidR="00264B24" w:rsidRDefault="004A6D76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Сопровождение официального гида острова Валаам во время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экскурсии по острову</w:t>
            </w:r>
          </w:p>
          <w:p w:rsidR="00264B24" w:rsidRDefault="004A6D76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Обед в монастырской трапезной</w:t>
            </w:r>
          </w:p>
          <w:p w:rsidR="00264B24" w:rsidRDefault="004A6D76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Свободное время для осмотра крепости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Корела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в Приозерске</w:t>
            </w:r>
          </w:p>
        </w:tc>
      </w:tr>
    </w:tbl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4A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Дополнительные возможности в туре:</w:t>
      </w: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64B24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B24" w:rsidRDefault="004A6D76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Оплачивается самостоятельно до начала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B24" w:rsidRDefault="004A6D76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Оплачивается по желанию в момент</w:t>
            </w:r>
          </w:p>
          <w:p w:rsidR="00264B24" w:rsidRDefault="004A6D76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бронирования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64B24" w:rsidRDefault="004A6D76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Оплачивается по желанию на месте:</w:t>
            </w:r>
          </w:p>
        </w:tc>
      </w:tr>
      <w:tr w:rsidR="00264B24">
        <w:trPr>
          <w:trHeight w:val="559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4B24" w:rsidRDefault="004A6D76">
            <w:pPr>
              <w:widowControl w:val="0"/>
              <w:numPr>
                <w:ilvl w:val="0"/>
                <w:numId w:val="1"/>
              </w:numPr>
              <w:shd w:val="clear" w:color="auto" w:fill="F1F9EC"/>
              <w:spacing w:line="291" w:lineRule="auto"/>
              <w:rPr>
                <w:rFonts w:ascii="Calibri" w:eastAsia="Calibri" w:hAnsi="Calibri" w:cs="Calibri"/>
                <w:shd w:val="clear" w:color="auto" w:fill="EA9999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EA9999"/>
              </w:rPr>
              <w:t>При посещении особо охраняемых природных территорий Карелии, по постановлению Правительства, взимается обязательный платеж 200 руб. за посещение объектов</w:t>
            </w:r>
            <w:r>
              <w:rPr>
                <w:rFonts w:ascii="Roboto" w:eastAsia="Roboto" w:hAnsi="Roboto" w:cs="Roboto"/>
                <w:color w:val="121B2E"/>
                <w:sz w:val="21"/>
                <w:szCs w:val="21"/>
                <w:shd w:val="clear" w:color="auto" w:fill="EA9999"/>
              </w:rPr>
              <w:t>:</w:t>
            </w:r>
          </w:p>
          <w:p w:rsidR="00264B24" w:rsidRDefault="004A6D76">
            <w:pPr>
              <w:widowControl w:val="0"/>
              <w:shd w:val="clear" w:color="auto" w:fill="F1F9EC"/>
              <w:spacing w:line="291" w:lineRule="auto"/>
              <w:ind w:left="720"/>
              <w:rPr>
                <w:rFonts w:ascii="Calibri" w:eastAsia="Calibri" w:hAnsi="Calibri" w:cs="Calibri"/>
                <w:sz w:val="18"/>
                <w:szCs w:val="18"/>
                <w:shd w:val="clear" w:color="auto" w:fill="EA9999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EA9999"/>
              </w:rPr>
              <w:t xml:space="preserve">Валаамский архипелаг - ссылка на оплату </w:t>
            </w:r>
            <w:hyperlink r:id="rId8" w:tooltip="https://vk.cc/cw64Ja" w:history="1">
              <w:r>
                <w:rPr>
                  <w:rFonts w:ascii="Calibri" w:eastAsia="Calibri" w:hAnsi="Calibri" w:cs="Calibri"/>
                  <w:sz w:val="18"/>
                  <w:szCs w:val="18"/>
                  <w:shd w:val="clear" w:color="auto" w:fill="EA9999"/>
                </w:rPr>
                <w:t>https://vk.cc/cw64Ja</w:t>
              </w:r>
            </w:hyperlink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4B24" w:rsidRDefault="004A6D76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Доплат нет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4B24" w:rsidRDefault="004A6D76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Доплат нет</w:t>
            </w:r>
          </w:p>
        </w:tc>
      </w:tr>
    </w:tbl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B24" w:rsidRDefault="00264B24">
      <w:pPr>
        <w:spacing w:line="240" w:lineRule="auto"/>
      </w:pPr>
    </w:p>
    <w:sectPr w:rsidR="00264B24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24" w:rsidRDefault="004A6D76">
      <w:pPr>
        <w:spacing w:line="240" w:lineRule="auto"/>
      </w:pPr>
      <w:r>
        <w:separator/>
      </w:r>
    </w:p>
  </w:endnote>
  <w:endnote w:type="continuationSeparator" w:id="0">
    <w:p w:rsidR="00264B24" w:rsidRDefault="004A6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Mon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24" w:rsidRDefault="004A6D76">
      <w:pPr>
        <w:spacing w:line="240" w:lineRule="auto"/>
      </w:pPr>
      <w:r>
        <w:separator/>
      </w:r>
    </w:p>
  </w:footnote>
  <w:footnote w:type="continuationSeparator" w:id="0">
    <w:p w:rsidR="00264B24" w:rsidRDefault="004A6D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24" w:rsidRDefault="00264B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3E3A"/>
    <w:multiLevelType w:val="hybridMultilevel"/>
    <w:tmpl w:val="F71A2D1A"/>
    <w:lvl w:ilvl="0" w:tplc="9208DE3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3AADB0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0FAB98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A6208F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452341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8A4102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CD0C3C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DB07A2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6FA94C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5019D3"/>
    <w:multiLevelType w:val="hybridMultilevel"/>
    <w:tmpl w:val="D046C476"/>
    <w:lvl w:ilvl="0" w:tplc="9FC013A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0C8F02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20E9ED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F44769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FA643B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CE4454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11A0C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8E60AC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9F6DC2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24"/>
    <w:rsid w:val="00264B24"/>
    <w:rsid w:val="004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D1BD2-D539-44E6-BFDE-59788EC2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w64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93E70-FE18-4459-9821-0323D03B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2024-11-05T14:08:00Z</dcterms:created>
  <dcterms:modified xsi:type="dcterms:W3CDTF">2025-01-28T13:55:00Z</dcterms:modified>
</cp:coreProperties>
</file>