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EA" w:rsidRPr="00D03208" w:rsidRDefault="004A1BEA" w:rsidP="004A1BEA">
      <w:pPr>
        <w:ind w:firstLine="708"/>
        <w:jc w:val="center"/>
        <w:rPr>
          <w:b/>
          <w:color w:val="0F243E" w:themeColor="text2" w:themeShade="80"/>
          <w:u w:val="single"/>
        </w:rPr>
      </w:pPr>
      <w:r w:rsidRPr="00D03208">
        <w:rPr>
          <w:b/>
          <w:color w:val="0F243E" w:themeColor="text2" w:themeShade="80"/>
          <w:u w:val="single"/>
        </w:rPr>
        <w:t>«Масленица по-казначейски»</w:t>
      </w:r>
    </w:p>
    <w:p w:rsidR="004A1BEA" w:rsidRPr="00D03208" w:rsidRDefault="004A1BEA" w:rsidP="004A1BEA">
      <w:pPr>
        <w:jc w:val="center"/>
        <w:rPr>
          <w:b/>
          <w:color w:val="0F243E" w:themeColor="text2" w:themeShade="80"/>
          <w:u w:val="single"/>
        </w:rPr>
      </w:pPr>
      <w:r w:rsidRPr="00D03208">
        <w:rPr>
          <w:b/>
          <w:color w:val="0F243E" w:themeColor="text2" w:themeShade="80"/>
          <w:u w:val="single"/>
        </w:rPr>
        <w:t xml:space="preserve">Тур выходного дня по усадьбам Тамбовской области </w:t>
      </w:r>
    </w:p>
    <w:p w:rsidR="004A1BEA" w:rsidRPr="00D03208" w:rsidRDefault="004A1BEA" w:rsidP="004A1BEA">
      <w:pPr>
        <w:jc w:val="center"/>
        <w:rPr>
          <w:rFonts w:cs="Times New Roman"/>
          <w:b/>
          <w:color w:val="0F243E" w:themeColor="text2" w:themeShade="80"/>
          <w:u w:val="single"/>
        </w:rPr>
      </w:pPr>
      <w:r w:rsidRPr="00D03208">
        <w:rPr>
          <w:rFonts w:cs="Times New Roman"/>
          <w:b/>
          <w:color w:val="0F243E" w:themeColor="text2" w:themeShade="80"/>
          <w:u w:val="single"/>
        </w:rPr>
        <w:t xml:space="preserve">Тамбов (усадьба М. </w:t>
      </w:r>
      <w:proofErr w:type="gramStart"/>
      <w:r w:rsidRPr="00D03208">
        <w:rPr>
          <w:rFonts w:cs="Times New Roman"/>
          <w:b/>
          <w:color w:val="0F243E" w:themeColor="text2" w:themeShade="80"/>
          <w:u w:val="single"/>
        </w:rPr>
        <w:t>Асеева )</w:t>
      </w:r>
      <w:proofErr w:type="gramEnd"/>
      <w:r w:rsidRPr="00D03208">
        <w:rPr>
          <w:rFonts w:cs="Times New Roman"/>
          <w:b/>
          <w:color w:val="0F243E" w:themeColor="text2" w:themeShade="80"/>
          <w:u w:val="single"/>
        </w:rPr>
        <w:t>- Тарханы(усадьба М. Лермонтова)</w:t>
      </w:r>
    </w:p>
    <w:p w:rsidR="004A1BEA" w:rsidRPr="00D03208" w:rsidRDefault="004A1BEA" w:rsidP="004A1BEA">
      <w:pPr>
        <w:jc w:val="center"/>
        <w:rPr>
          <w:rFonts w:cs="Times New Roman"/>
          <w:b/>
          <w:color w:val="0F243E" w:themeColor="text2" w:themeShade="80"/>
          <w:u w:val="single"/>
        </w:rPr>
      </w:pPr>
      <w:r>
        <w:rPr>
          <w:rFonts w:cs="Times New Roman"/>
          <w:b/>
          <w:color w:val="0F243E" w:themeColor="text2" w:themeShade="80"/>
          <w:u w:val="single"/>
        </w:rPr>
        <w:t>05-06 марта 2022</w:t>
      </w:r>
      <w:r w:rsidRPr="00D03208">
        <w:rPr>
          <w:rFonts w:cs="Times New Roman"/>
          <w:b/>
          <w:color w:val="0F243E" w:themeColor="text2" w:themeShade="80"/>
          <w:u w:val="single"/>
        </w:rPr>
        <w:t>г</w:t>
      </w:r>
    </w:p>
    <w:p w:rsidR="004A1BEA" w:rsidRPr="00D03208" w:rsidRDefault="004A1BEA" w:rsidP="004A1BEA">
      <w:pPr>
        <w:jc w:val="center"/>
        <w:rPr>
          <w:rFonts w:cs="Times New Roman"/>
          <w:color w:val="0F243E" w:themeColor="text2" w:themeShade="80"/>
        </w:rPr>
      </w:pPr>
      <w:r w:rsidRPr="00D03208">
        <w:rPr>
          <w:noProof/>
          <w:color w:val="0F243E" w:themeColor="text2" w:themeShade="80"/>
          <w:lang w:eastAsia="ru-RU" w:bidi="ar-SA"/>
        </w:rPr>
        <w:drawing>
          <wp:inline distT="0" distB="0" distL="0" distR="0">
            <wp:extent cx="2124075" cy="1417820"/>
            <wp:effectExtent l="19050" t="0" r="9525" b="0"/>
            <wp:docPr id="3" name="Рисунок 1" descr="Маслена не на век д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а не на век дает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208">
        <w:rPr>
          <w:rFonts w:cs="Times New Roman"/>
          <w:noProof/>
          <w:color w:val="0F243E" w:themeColor="text2" w:themeShade="80"/>
          <w:lang w:eastAsia="ru-RU" w:bidi="ar-SA"/>
        </w:rPr>
        <w:drawing>
          <wp:inline distT="0" distB="0" distL="0" distR="0">
            <wp:extent cx="2266950" cy="1419225"/>
            <wp:effectExtent l="19050" t="0" r="0" b="0"/>
            <wp:docPr id="2" name="Рисунок 2" descr="https://sun1-20.userapi.com/GccCrmGYr0lr9AViDMDujo0sCeow_QAmwOSUlg/KH7Y7RZ8XC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4" name="Picture 2" descr="https://sun1-20.userapi.com/GccCrmGYr0lr9AViDMDujo0sCeow_QAmwOSUlg/KH7Y7RZ8X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90" cy="141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BEA" w:rsidRPr="00D03208" w:rsidRDefault="004A1BEA" w:rsidP="004A1BEA">
      <w:pPr>
        <w:jc w:val="center"/>
        <w:rPr>
          <w:rFonts w:cs="Times New Roman"/>
          <w:color w:val="0F243E" w:themeColor="text2" w:themeShade="8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524"/>
      </w:tblGrid>
      <w:tr w:rsidR="004A1BEA" w:rsidRPr="00D03208" w:rsidTr="00250DC7">
        <w:trPr>
          <w:trHeight w:val="1847"/>
        </w:trPr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Общая информация: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Межрегиональный праздничный тур для любителей литературы, искусства, старинных легенд. Какой же русский человек не знает лермонтовскую Казначейшу? Увидеть места, где происходили события поэмы, действия которой  не были вымыслом, окунуться в атмосферу купеческого Тамбова под музыку старинных романсов, что может быть прекраснее? Мы ждем вас в </w:t>
            </w:r>
            <w:proofErr w:type="spellStart"/>
            <w:proofErr w:type="gramStart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Тамбове!Во</w:t>
            </w:r>
            <w:proofErr w:type="spellEnd"/>
            <w:proofErr w:type="gramEnd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время тура вы посетите старинный город Тамбов, познакомитесь с его историей, узнаете об известном на всю Россию «тамбовском волке».  Усадьба «Тарханы» в Пензенской области, где провел свое детство великий русский поэт М. Ю. Лермонтов запомнится туристам великолепным музеем, парком. Наши туристы посетят праздничные мероприятия масленичные в усадьбе.</w:t>
            </w:r>
          </w:p>
        </w:tc>
      </w:tr>
      <w:tr w:rsidR="004A1BEA" w:rsidRPr="00D03208" w:rsidTr="00250DC7">
        <w:trPr>
          <w:trHeight w:val="848"/>
        </w:trPr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Размещение: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Гостиница «Славянская»***бизнес-класс: </w:t>
            </w: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уютная обстановка создает особое настроение и ощущение внутреннего комфорта. Номера выдержаны в теплой цветовой гамме, просторны и оснащены удобствами для личного пользования: кондиционер, спутниковое телевидение, телефон, доступ в интернет, холодильник, мини-бар, фен, гигиенические принадлежности. Находится в центре города, есть парковка, сауна, кафе. Гостиница продолжает традиции одноименного заведения, которое принимало гостей города более 100 лет назад. Теплый прием, уют, тишина и забота персонала - это добрые традиции гостиницы «Славянская». Адрес: г. Тамбов, </w:t>
            </w:r>
            <w:proofErr w:type="spellStart"/>
            <w:proofErr w:type="gramStart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ул</w:t>
            </w:r>
            <w:proofErr w:type="spellEnd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.Кавалерийская</w:t>
            </w:r>
            <w:proofErr w:type="gramEnd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, 18а.</w:t>
            </w:r>
          </w:p>
          <w:p w:rsidR="004A1BEA" w:rsidRPr="00D03208" w:rsidRDefault="004A1BEA" w:rsidP="00250DC7">
            <w:pPr>
              <w:tabs>
                <w:tab w:val="left" w:pos="3435"/>
              </w:tabs>
              <w:snapToGrid w:val="0"/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Гостиница «</w:t>
            </w:r>
            <w:proofErr w:type="gramStart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Галерея»*</w:t>
            </w:r>
            <w:proofErr w:type="gramEnd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*** бизнес-класс (исторический центр).</w:t>
            </w: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Расположена в историческом центре города, вблизи главных исторических достопримечательностей. Гостиница укомплектована 1-2-х местными номерами стандарт,  номерами категории «люкс» и «</w:t>
            </w:r>
            <w:proofErr w:type="spellStart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сьют</w:t>
            </w:r>
            <w:proofErr w:type="spellEnd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». Завтраки в ресторане гостиницы по системе «шведский стол</w:t>
            </w:r>
            <w:proofErr w:type="gramStart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».Адрес</w:t>
            </w:r>
            <w:proofErr w:type="gramEnd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:  г. Тамбов, ул. Горького 17/129.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Доп. кровать: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Предусмотрена по требованию.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Проезд: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Транспорт по туру  предоставляется согласно программе. 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Питание: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По программе (1 завтрак). Во всех гостиницах по туру завтрак «шведский стол».</w:t>
            </w:r>
          </w:p>
        </w:tc>
      </w:tr>
      <w:tr w:rsidR="004A1BEA" w:rsidRPr="00D03208" w:rsidTr="00250DC7">
        <w:trPr>
          <w:trHeight w:val="2259"/>
        </w:trPr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Программа тура: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24" w:type="dxa"/>
          </w:tcPr>
          <w:p w:rsidR="004A1BEA" w:rsidRPr="00D03208" w:rsidRDefault="004A1BEA" w:rsidP="00250DC7">
            <w:pPr>
              <w:snapToGrid w:val="0"/>
              <w:jc w:val="both"/>
              <w:rPr>
                <w:rFonts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D03208">
              <w:rPr>
                <w:rFonts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 xml:space="preserve">1 день. </w:t>
            </w:r>
          </w:p>
          <w:p w:rsidR="004A1BEA" w:rsidRPr="0083694F" w:rsidRDefault="004A1BEA" w:rsidP="00250DC7">
            <w:pPr>
              <w:snapToGrid w:val="0"/>
              <w:jc w:val="both"/>
              <w:rPr>
                <w:rFonts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83694F">
              <w:rPr>
                <w:rFonts w:cs="Times New Roman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 xml:space="preserve">1 день. 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3694F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*Прибытие в Тамбов до 12.00. 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</w:pPr>
            <w:r w:rsidRPr="0083694F"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  <w:t>07.30-Трансфер в гостиницу для прибывающих поездом № 31.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</w:pPr>
            <w:r w:rsidRPr="0083694F"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  <w:t>10.21-Трансфер в гостиницу для прибывающих поездом № 005г.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3694F"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  <w:t>11.55- Трансфер в гостиницу для прибывающих поездом 109а.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</w:pPr>
            <w:r w:rsidRPr="0083694F">
              <w:rPr>
                <w:rFonts w:cs="Times New Roman"/>
                <w:color w:val="0F243E" w:themeColor="text2" w:themeShade="80"/>
                <w:kern w:val="2"/>
                <w:sz w:val="24"/>
                <w:szCs w:val="24"/>
              </w:rPr>
              <w:t xml:space="preserve">*Внимание! Если поезд другой, то информацию о прибытии обязательно сообщить заранее. </w:t>
            </w:r>
          </w:p>
          <w:p w:rsidR="004A1BEA" w:rsidRPr="0083694F" w:rsidRDefault="004A1BEA" w:rsidP="00250DC7">
            <w:pPr>
              <w:snapToGrid w:val="0"/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3694F">
              <w:rPr>
                <w:rFonts w:cs="Times New Roman"/>
                <w:color w:val="0F243E" w:themeColor="text2" w:themeShade="80"/>
                <w:sz w:val="24"/>
                <w:szCs w:val="24"/>
              </w:rPr>
              <w:t>При раннем прибытии размещение в гостинице при наличии свободных номеров. Расчетный час-12.00.</w:t>
            </w:r>
          </w:p>
          <w:p w:rsidR="004A1BEA" w:rsidRPr="0083694F" w:rsidRDefault="004A1BEA" w:rsidP="00250DC7">
            <w:pPr>
              <w:snapToGrid w:val="0"/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3694F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12.40 Встреча с экскурсоводом в холле гостиницы «Славянская»</w:t>
            </w:r>
          </w:p>
          <w:p w:rsidR="004A1BEA" w:rsidRPr="0083694F" w:rsidRDefault="004A1BEA" w:rsidP="00250DC7">
            <w:pPr>
              <w:pStyle w:val="NormalWeb"/>
              <w:spacing w:before="0" w:beforeAutospacing="0" w:after="0" w:afterAutospacing="0"/>
              <w:jc w:val="both"/>
              <w:rPr>
                <w:rFonts w:eastAsia="Lucida Sans Unicode"/>
                <w:b/>
                <w:color w:val="0F243E" w:themeColor="text2" w:themeShade="80"/>
                <w:sz w:val="24"/>
                <w:szCs w:val="24"/>
              </w:rPr>
            </w:pPr>
            <w:r w:rsidRPr="0083694F">
              <w:rPr>
                <w:rFonts w:eastAsia="Lucida Sans Unicode"/>
                <w:b/>
                <w:color w:val="0F243E" w:themeColor="text2" w:themeShade="80"/>
                <w:sz w:val="24"/>
                <w:szCs w:val="24"/>
              </w:rPr>
              <w:t xml:space="preserve">13.00 Встреча с экскурсоводом в холле гостиницы «Галерея». 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83694F">
              <w:rPr>
                <w:rFonts w:cs="Times New Roman"/>
                <w:b/>
                <w:color w:val="0D0D0D" w:themeColor="text1" w:themeTint="F2"/>
                <w:sz w:val="24"/>
                <w:szCs w:val="24"/>
              </w:rPr>
              <w:t>13.10</w:t>
            </w:r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Экскурсия по Тамбову- старому купеческому городу, интересному и влекущему своими загадками и историей, с уникальными достопримечательностями. Город- музыки и вальса, город Казначейши и </w:t>
            </w:r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Рахманинова. Вы полюбуетесь роскошными усадьбами русского </w:t>
            </w:r>
            <w:proofErr w:type="gramStart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>модерна,  памятниками</w:t>
            </w:r>
            <w:proofErr w:type="gramEnd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архитектуры, хранящими истории не только Тамбовского казначея, но и купца, дворянина ,и простого обывателя: улицы- Гимназическая, Наместническая, Большой Астраханский тракт. Как они называются теперь? Узнаем во время экскурсии. А потом отправимся по Набережной улице, которая с недавнего времени стала пешеходной </w:t>
            </w:r>
            <w:proofErr w:type="gramStart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>и  тянется</w:t>
            </w:r>
            <w:proofErr w:type="gramEnd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вдоль канала </w:t>
            </w:r>
            <w:proofErr w:type="spellStart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>Цны</w:t>
            </w:r>
            <w:proofErr w:type="spellEnd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 почти 5 км. Здесь  известный на всю Россию памятник Тамбовскому мужику: трехметровая скульптура землепашца. Городская и церковная архитектура, самый известный </w:t>
            </w:r>
            <w:proofErr w:type="spellStart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>Спасо</w:t>
            </w:r>
            <w:proofErr w:type="spellEnd"/>
            <w:r w:rsidRPr="0083694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- Преображенский кафедральный собор с величественной многоярусной колокольней, польский Римско-католический Костел -единственный в Черноземье, Казанский собор, стены которого расписаны в технике «гризайль»- все это в нашей экскурсии. </w:t>
            </w:r>
          </w:p>
          <w:p w:rsidR="004A1BEA" w:rsidRPr="0083694F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3694F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16.00 Знакомство с купеческим Тамбовом состоится  в усадьбе купца Асеева. </w:t>
            </w:r>
            <w:r w:rsidRPr="0083694F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Главный усадебный дом поражает соразмерностью и изяществом всех своих элементов: он легкий, красивый, с несимметричными фасадами и крайне интересными декоративными </w:t>
            </w:r>
            <w:proofErr w:type="spellStart"/>
            <w:proofErr w:type="gramStart"/>
            <w:r w:rsidRPr="0083694F">
              <w:rPr>
                <w:rFonts w:cs="Times New Roman"/>
                <w:color w:val="0F243E" w:themeColor="text2" w:themeShade="80"/>
                <w:sz w:val="24"/>
                <w:szCs w:val="24"/>
              </w:rPr>
              <w:t>решениями.Усадьба</w:t>
            </w:r>
            <w:proofErr w:type="spellEnd"/>
            <w:proofErr w:type="gramEnd"/>
            <w:r w:rsidRPr="0083694F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была полностью отреставрирована и открыта для посетителей  в 2014г. Парк — отдельная гордость </w:t>
            </w:r>
            <w:proofErr w:type="spellStart"/>
            <w:r w:rsidRPr="0083694F">
              <w:rPr>
                <w:rFonts w:cs="Times New Roman"/>
                <w:color w:val="0F243E" w:themeColor="text2" w:themeShade="80"/>
                <w:sz w:val="24"/>
                <w:szCs w:val="24"/>
              </w:rPr>
              <w:t>Асеевской</w:t>
            </w:r>
            <w:proofErr w:type="spellEnd"/>
            <w:r w:rsidRPr="0083694F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усадьбы. Здесь растут старинные двухсотлетние деревья — липы, вязы, дубы, сосны, журчат фонтаны, томно глядят в небытие равнодушные скульптуры. Весной разносится аромат акации и жимолости, в знойный день встречает прохладой тень от кроны тополя и голубой  ели.</w:t>
            </w:r>
          </w:p>
          <w:p w:rsidR="004A1BEA" w:rsidRPr="0083694F" w:rsidRDefault="004A1BEA" w:rsidP="00250DC7">
            <w:pPr>
              <w:pStyle w:val="NormalWeb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83694F">
              <w:rPr>
                <w:color w:val="0F243E" w:themeColor="text2" w:themeShade="80"/>
                <w:sz w:val="24"/>
                <w:szCs w:val="24"/>
              </w:rPr>
              <w:t>Главный долгожитель парка — дуб черешчатый, который, по мнению некоторых ученых, недавно отпраздновал более 215 лет. Окончание туристического обслуживания. Свободное время. Самостоятельное возвращение в гостиницу.</w:t>
            </w:r>
          </w:p>
          <w:p w:rsidR="004A1BEA" w:rsidRPr="00D03208" w:rsidRDefault="004A1BEA" w:rsidP="00250DC7">
            <w:pPr>
              <w:pStyle w:val="NormalWeb"/>
              <w:spacing w:before="0" w:beforeAutospacing="0" w:after="0" w:afterAutospacing="0"/>
              <w:jc w:val="both"/>
              <w:rPr>
                <w:rFonts w:eastAsia="Lucida Sans Unicode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D03208">
              <w:rPr>
                <w:rFonts w:eastAsia="Lucida Sans Unicode"/>
                <w:b/>
                <w:color w:val="0F243E" w:themeColor="text2" w:themeShade="80"/>
                <w:sz w:val="24"/>
                <w:szCs w:val="24"/>
                <w:u w:val="single"/>
              </w:rPr>
              <w:t>2 день.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07.00 Завтрак в гостинице. Освобождение номеров. Выселение. </w:t>
            </w:r>
          </w:p>
          <w:p w:rsidR="004A1BEA" w:rsidRPr="007F2D7C" w:rsidRDefault="004A1BEA" w:rsidP="007F2D7C">
            <w:pPr>
              <w:snapToGrid w:val="0"/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b/>
                <w:color w:val="0F243E" w:themeColor="text2" w:themeShade="80"/>
                <w:sz w:val="24"/>
                <w:szCs w:val="24"/>
              </w:rPr>
              <w:t xml:space="preserve">08.00 </w:t>
            </w:r>
            <w:r w:rsidR="007F2D7C"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Встреча с групповодом в холле гостиницы «Славянская»</w:t>
            </w:r>
          </w:p>
          <w:p w:rsidR="007F2D7C" w:rsidRPr="00D03208" w:rsidRDefault="004A1BEA" w:rsidP="007F2D7C">
            <w:pPr>
              <w:pStyle w:val="NormalWeb"/>
              <w:spacing w:before="0" w:beforeAutospacing="0" w:after="0" w:afterAutospacing="0"/>
              <w:jc w:val="both"/>
              <w:rPr>
                <w:rFonts w:eastAsia="Lucida Sans Unicode"/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D03208">
              <w:rPr>
                <w:b/>
                <w:color w:val="0F243E" w:themeColor="text2" w:themeShade="80"/>
                <w:sz w:val="24"/>
                <w:szCs w:val="24"/>
              </w:rPr>
              <w:t xml:space="preserve">08.15 </w:t>
            </w:r>
            <w:r w:rsidR="007F2D7C" w:rsidRPr="00D03208">
              <w:rPr>
                <w:rFonts w:eastAsia="Lucida Sans Unicode"/>
                <w:b/>
                <w:color w:val="0F243E" w:themeColor="text2" w:themeShade="80"/>
                <w:sz w:val="24"/>
                <w:szCs w:val="24"/>
              </w:rPr>
              <w:t>Встреча с групповодом в холле гостиницы «Галерея».</w:t>
            </w:r>
          </w:p>
          <w:p w:rsidR="004A1BEA" w:rsidRPr="00D03208" w:rsidRDefault="004A1BEA" w:rsidP="00250DC7">
            <w:pPr>
              <w:pStyle w:val="NormalWeb"/>
              <w:spacing w:before="0" w:beforeAutospacing="0" w:after="0" w:afterAutospacing="0"/>
              <w:jc w:val="both"/>
              <w:rPr>
                <w:rFonts w:eastAsia="Lucida Sans Unicode"/>
                <w:color w:val="0F243E" w:themeColor="text2" w:themeShade="80"/>
                <w:sz w:val="24"/>
                <w:szCs w:val="24"/>
                <w:shd w:val="clear" w:color="auto" w:fill="344862"/>
              </w:rPr>
            </w:pPr>
            <w:r w:rsidRPr="00D03208">
              <w:rPr>
                <w:b/>
                <w:color w:val="0F243E" w:themeColor="text2" w:themeShade="80"/>
                <w:sz w:val="24"/>
                <w:szCs w:val="24"/>
              </w:rPr>
              <w:t>Отъезд на загородную</w:t>
            </w:r>
            <w:r w:rsidRPr="00F03BEF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D03208">
              <w:rPr>
                <w:b/>
                <w:color w:val="0F243E" w:themeColor="text2" w:themeShade="80"/>
                <w:sz w:val="24"/>
                <w:szCs w:val="24"/>
              </w:rPr>
              <w:t>праздничную экскурсию в Тарханы (время в пути-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3</w:t>
            </w:r>
            <w:r w:rsidRPr="00D03208">
              <w:rPr>
                <w:b/>
                <w:color w:val="0F243E" w:themeColor="text2" w:themeShade="80"/>
                <w:sz w:val="24"/>
                <w:szCs w:val="24"/>
              </w:rPr>
              <w:t xml:space="preserve"> часа)</w:t>
            </w:r>
            <w:r w:rsidRPr="00D03208">
              <w:rPr>
                <w:color w:val="0F243E" w:themeColor="text2" w:themeShade="80"/>
                <w:sz w:val="24"/>
                <w:szCs w:val="24"/>
              </w:rPr>
              <w:t xml:space="preserve">. </w:t>
            </w:r>
            <w:r w:rsidRPr="00D03208">
              <w:rPr>
                <w:rFonts w:eastAsia="Lucida Sans Unicode"/>
                <w:color w:val="0F243E" w:themeColor="text2" w:themeShade="80"/>
                <w:sz w:val="24"/>
                <w:szCs w:val="24"/>
              </w:rPr>
              <w:t>Отъезд в Тарханы (Пензенская область) В имении прошла половина жизни великого М.Ю.Лермонтова. Здесь, в дворянско-усадебной среде, разнообразии народной жизни, в общении с природой, с богатством родного языка получил он неизгладимые впечатления. Здесь истоки его мироощущения и характера, многих из его творений. Здесь же покоится и прах поэта.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11.30 Прибытие в имение Тарханы. Бывший барский дом, церковь Марии Египетской, восстановленные людская изба и дом ключника, парк, сад, дубовая роща и пруды, кладбище Лермонтовых с часовней, где поится поэт, сторожка и сельская церковь.</w:t>
            </w:r>
          </w:p>
          <w:p w:rsidR="004A1BEA" w:rsidRPr="00D03208" w:rsidRDefault="004A1BEA" w:rsidP="00250DC7">
            <w:pPr>
              <w:pStyle w:val="NormalWeb"/>
              <w:spacing w:before="0" w:beforeAutospacing="0" w:after="0" w:afterAutospacing="0"/>
              <w:jc w:val="both"/>
              <w:rPr>
                <w:color w:val="0F243E" w:themeColor="text2" w:themeShade="80"/>
                <w:sz w:val="24"/>
                <w:szCs w:val="24"/>
              </w:rPr>
            </w:pPr>
            <w:r w:rsidRPr="00D03208">
              <w:rPr>
                <w:color w:val="0F243E" w:themeColor="text2" w:themeShade="80"/>
                <w:sz w:val="24"/>
                <w:szCs w:val="24"/>
              </w:rPr>
              <w:t>12.00-16.00 Экскурсия по усадьбе и праздничные масленичные гуляния.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16.00 Отъезд в Тамбов. Время в пути.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proofErr w:type="gramStart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19.00  Прощание</w:t>
            </w:r>
            <w:proofErr w:type="gramEnd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 с туристами на ж/д вокзале Тамбова.</w:t>
            </w:r>
          </w:p>
          <w:p w:rsidR="004A1BEA" w:rsidRPr="00D03208" w:rsidRDefault="004A1BEA" w:rsidP="00250DC7">
            <w:pPr>
              <w:jc w:val="both"/>
              <w:rPr>
                <w:rFonts w:eastAsiaTheme="minorHAnsi" w:cs="Times New Roman"/>
                <w:color w:val="0F243E" w:themeColor="text2" w:themeShade="80"/>
                <w:kern w:val="0"/>
                <w:sz w:val="24"/>
                <w:szCs w:val="24"/>
                <w:lang w:eastAsia="en-US" w:bidi="ar-SA"/>
              </w:rPr>
            </w:pPr>
            <w:r w:rsidRPr="00D03208">
              <w:rPr>
                <w:rFonts w:eastAsiaTheme="minorHAnsi" w:cs="Times New Roman"/>
                <w:color w:val="0F243E" w:themeColor="text2" w:themeShade="80"/>
                <w:kern w:val="0"/>
                <w:sz w:val="24"/>
                <w:szCs w:val="24"/>
                <w:lang w:eastAsia="en-US" w:bidi="ar-SA"/>
              </w:rPr>
              <w:t>Рекомендуемый проезд для туристов из Москвы:</w:t>
            </w:r>
          </w:p>
          <w:p w:rsidR="004A1BEA" w:rsidRPr="00D03208" w:rsidRDefault="004A1BEA" w:rsidP="00250DC7">
            <w:pPr>
              <w:jc w:val="both"/>
              <w:rPr>
                <w:rFonts w:eastAsiaTheme="minorHAnsi" w:cs="Times New Roman"/>
                <w:color w:val="0F243E" w:themeColor="text2" w:themeShade="80"/>
                <w:kern w:val="0"/>
                <w:sz w:val="24"/>
                <w:szCs w:val="24"/>
                <w:lang w:eastAsia="en-US" w:bidi="ar-SA"/>
              </w:rPr>
            </w:pPr>
            <w:r w:rsidRPr="00D03208">
              <w:rPr>
                <w:rFonts w:eastAsiaTheme="minorHAnsi" w:cs="Times New Roman"/>
                <w:color w:val="0F243E" w:themeColor="text2" w:themeShade="80"/>
                <w:kern w:val="0"/>
                <w:sz w:val="24"/>
                <w:szCs w:val="24"/>
                <w:lang w:eastAsia="en-US" w:bidi="ar-SA"/>
              </w:rPr>
              <w:t>№ 085С в 20-32 отправление, и в Москве в 05-30 (8ч 58 мин в пути, Казанский вокзал)</w:t>
            </w:r>
          </w:p>
          <w:p w:rsidR="004A1BEA" w:rsidRPr="00D03208" w:rsidRDefault="004A1BEA" w:rsidP="00250DC7">
            <w:pPr>
              <w:jc w:val="both"/>
              <w:rPr>
                <w:rFonts w:eastAsiaTheme="minorHAnsi" w:cs="Times New Roman"/>
                <w:color w:val="0F243E" w:themeColor="text2" w:themeShade="80"/>
                <w:kern w:val="0"/>
                <w:sz w:val="24"/>
                <w:szCs w:val="24"/>
                <w:lang w:eastAsia="en-US" w:bidi="ar-SA"/>
              </w:rPr>
            </w:pPr>
            <w:r w:rsidRPr="00D03208">
              <w:rPr>
                <w:rFonts w:eastAsiaTheme="minorHAnsi" w:cs="Times New Roman"/>
                <w:color w:val="0F243E" w:themeColor="text2" w:themeShade="80"/>
                <w:kern w:val="0"/>
                <w:sz w:val="24"/>
                <w:szCs w:val="24"/>
                <w:lang w:eastAsia="en-US" w:bidi="ar-SA"/>
              </w:rPr>
              <w:t>№ 031В в 21-20 отправление,  и в Москве в 06-24 (9ч 04 мин в пути, Павелецкий  вокзал)</w:t>
            </w:r>
          </w:p>
        </w:tc>
      </w:tr>
      <w:tr w:rsidR="004A1BEA" w:rsidRPr="00D03208" w:rsidTr="00250DC7">
        <w:trPr>
          <w:trHeight w:val="552"/>
        </w:trPr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lastRenderedPageBreak/>
              <w:t>Даты заездов: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05-06 марта 202</w:t>
            </w:r>
            <w:r w:rsidR="007F2D7C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Дети: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Принимаются с любого возраста, оплачивая тур согласно таблице. Рекомендуемый возраст- от 5 лет.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В стоимость входит:</w:t>
            </w:r>
          </w:p>
        </w:tc>
        <w:tc>
          <w:tcPr>
            <w:tcW w:w="8524" w:type="dxa"/>
          </w:tcPr>
          <w:p w:rsidR="004A1BEA" w:rsidRPr="001203C0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1203C0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Проживание в гостинице в номере выбранной </w:t>
            </w:r>
            <w:proofErr w:type="gramStart"/>
            <w:r w:rsidRPr="001203C0">
              <w:rPr>
                <w:rFonts w:cs="Times New Roman"/>
                <w:color w:val="0F243E" w:themeColor="text2" w:themeShade="80"/>
                <w:sz w:val="24"/>
                <w:szCs w:val="24"/>
              </w:rPr>
              <w:t>категории,  питание</w:t>
            </w:r>
            <w:proofErr w:type="gramEnd"/>
            <w:r w:rsidRPr="001203C0">
              <w:rPr>
                <w:rFonts w:cs="Times New Roman"/>
                <w:color w:val="0F243E" w:themeColor="text2" w:themeShade="80"/>
                <w:sz w:val="24"/>
                <w:szCs w:val="24"/>
              </w:rPr>
              <w:t>(завтрак) по программе, экскурсионное обслуживание, входные билеты в музеи по программе, услуги гида на протяжении всего тура</w:t>
            </w:r>
            <w:r w:rsidR="007F2D7C">
              <w:rPr>
                <w:rFonts w:cs="Times New Roman"/>
                <w:color w:val="0F243E" w:themeColor="text2" w:themeShade="80"/>
                <w:sz w:val="24"/>
                <w:szCs w:val="24"/>
              </w:rPr>
              <w:t>, транспортное обслуживание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Дополнительно 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lastRenderedPageBreak/>
              <w:t>Оплачивается: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 Организация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дополнительного питания- от 5</w:t>
            </w: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00-00 рублей, встреча и трансфер </w:t>
            </w: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lastRenderedPageBreak/>
              <w:t>до отеля в день приезда- 350-00 рублей/машина/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до </w:t>
            </w: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3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-х человек</w:t>
            </w: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). Ж/д проезд Санкт-Петербург-Тамбов-Санкт-Петербург, Москва-Тамбов-Москва </w:t>
            </w:r>
            <w:proofErr w:type="gramStart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туристы  приобретают</w:t>
            </w:r>
            <w:proofErr w:type="gramEnd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самостоятельно 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lastRenderedPageBreak/>
              <w:t>Расчетный час: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12.00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Необходимые документы: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Путевка</w:t>
            </w:r>
            <w:bookmarkStart w:id="0" w:name="_GoBack"/>
            <w:bookmarkEnd w:id="0"/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, паспорт (для детей до 14 лет- свидетельство о рождении).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Примечания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туроператора: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Полезные советы: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При посещении действующих монастырей и храмов женщинам не рекомендуется входить на территорию в брюках или шортах без головного убора. </w:t>
            </w:r>
          </w:p>
        </w:tc>
      </w:tr>
      <w:tr w:rsidR="004A1BEA" w:rsidRPr="00D03208" w:rsidTr="00250DC7">
        <w:tc>
          <w:tcPr>
            <w:tcW w:w="1951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Важно:</w:t>
            </w:r>
          </w:p>
        </w:tc>
        <w:tc>
          <w:tcPr>
            <w:tcW w:w="852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Необходимо прибыть на место встречи в назначенное время, в противном случае ответственность за присоединение к группе полностью ложиться на туриста.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</w:tbl>
    <w:p w:rsidR="004A1BEA" w:rsidRPr="00D03208" w:rsidRDefault="004A1BEA" w:rsidP="004A1BEA">
      <w:pPr>
        <w:jc w:val="both"/>
        <w:rPr>
          <w:rFonts w:cs="Times New Roman"/>
          <w:color w:val="0F243E" w:themeColor="text2" w:themeShade="80"/>
        </w:rPr>
      </w:pPr>
    </w:p>
    <w:tbl>
      <w:tblPr>
        <w:tblStyle w:val="TableGrid"/>
        <w:tblpPr w:leftFromText="180" w:rightFromText="180" w:vertAnchor="text" w:tblpY="1"/>
        <w:tblW w:w="10456" w:type="dxa"/>
        <w:tblLayout w:type="fixed"/>
        <w:tblLook w:val="0000" w:firstRow="0" w:lastRow="0" w:firstColumn="0" w:lastColumn="0" w:noHBand="0" w:noVBand="0"/>
      </w:tblPr>
      <w:tblGrid>
        <w:gridCol w:w="6312"/>
        <w:gridCol w:w="4144"/>
      </w:tblGrid>
      <w:tr w:rsidR="004A1BEA" w:rsidRPr="00D03208" w:rsidTr="00250DC7">
        <w:trPr>
          <w:trHeight w:val="322"/>
        </w:trPr>
        <w:tc>
          <w:tcPr>
            <w:tcW w:w="10456" w:type="dxa"/>
            <w:gridSpan w:val="2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Стоимость на одного человека за тур в рублях: </w:t>
            </w:r>
          </w:p>
        </w:tc>
      </w:tr>
      <w:tr w:rsidR="004A1BEA" w:rsidRPr="00D03208" w:rsidTr="00250DC7">
        <w:trPr>
          <w:trHeight w:val="322"/>
        </w:trPr>
        <w:tc>
          <w:tcPr>
            <w:tcW w:w="10456" w:type="dxa"/>
            <w:gridSpan w:val="2"/>
          </w:tcPr>
          <w:p w:rsidR="004A1BEA" w:rsidRPr="00D03208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Гостиница «Славянская»***, бизнес-класс, завтраки «шведский стол»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г. Тамбов, </w:t>
            </w:r>
            <w:proofErr w:type="spellStart"/>
            <w:proofErr w:type="gramStart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ул</w:t>
            </w:r>
            <w:proofErr w:type="spellEnd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 .Кавалерийская</w:t>
            </w:r>
            <w:proofErr w:type="gramEnd"/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, 18а.</w:t>
            </w:r>
          </w:p>
        </w:tc>
      </w:tr>
      <w:tr w:rsidR="004A1BEA" w:rsidRPr="00D03208" w:rsidTr="00250DC7">
        <w:trPr>
          <w:trHeight w:val="343"/>
        </w:trPr>
        <w:tc>
          <w:tcPr>
            <w:tcW w:w="6312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Двухместный номер «стандарт»</w:t>
            </w:r>
          </w:p>
        </w:tc>
        <w:tc>
          <w:tcPr>
            <w:tcW w:w="414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10700-00</w:t>
            </w:r>
          </w:p>
        </w:tc>
      </w:tr>
      <w:tr w:rsidR="004A1BEA" w:rsidRPr="00D03208" w:rsidTr="00250DC7">
        <w:trPr>
          <w:trHeight w:val="343"/>
        </w:trPr>
        <w:tc>
          <w:tcPr>
            <w:tcW w:w="6312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Одноместный номер «стандарт»</w:t>
            </w:r>
          </w:p>
        </w:tc>
        <w:tc>
          <w:tcPr>
            <w:tcW w:w="414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11000-00</w:t>
            </w:r>
          </w:p>
        </w:tc>
      </w:tr>
      <w:tr w:rsidR="004A1BEA" w:rsidRPr="00D03208" w:rsidTr="00250DC7">
        <w:trPr>
          <w:trHeight w:val="60"/>
        </w:trPr>
        <w:tc>
          <w:tcPr>
            <w:tcW w:w="10456" w:type="dxa"/>
            <w:gridSpan w:val="2"/>
          </w:tcPr>
          <w:p w:rsidR="004A1BEA" w:rsidRPr="00D03208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Гостиница «Галерея»****, (исторический центр) премиум-класс,  завтраки «шведский стол»  </w:t>
            </w:r>
          </w:p>
          <w:p w:rsidR="004A1BEA" w:rsidRPr="00D03208" w:rsidRDefault="004A1BEA" w:rsidP="00250DC7">
            <w:pPr>
              <w:jc w:val="both"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г. Тамбов, ул. М. Горького 17/129</w:t>
            </w:r>
          </w:p>
        </w:tc>
      </w:tr>
      <w:tr w:rsidR="004A1BEA" w:rsidRPr="00D03208" w:rsidTr="00250DC7">
        <w:trPr>
          <w:trHeight w:val="322"/>
        </w:trPr>
        <w:tc>
          <w:tcPr>
            <w:tcW w:w="6312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Двухместный номер «стандарт»</w:t>
            </w:r>
          </w:p>
        </w:tc>
        <w:tc>
          <w:tcPr>
            <w:tcW w:w="414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10600-00</w:t>
            </w:r>
          </w:p>
        </w:tc>
      </w:tr>
      <w:tr w:rsidR="004A1BEA" w:rsidRPr="00D03208" w:rsidTr="00250DC7">
        <w:trPr>
          <w:trHeight w:val="343"/>
        </w:trPr>
        <w:tc>
          <w:tcPr>
            <w:tcW w:w="6312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D03208">
              <w:rPr>
                <w:rFonts w:cs="Times New Roman"/>
                <w:color w:val="0F243E" w:themeColor="text2" w:themeShade="80"/>
                <w:sz w:val="24"/>
                <w:szCs w:val="24"/>
              </w:rPr>
              <w:t>Одноместный номер «стандарт»</w:t>
            </w:r>
          </w:p>
        </w:tc>
        <w:tc>
          <w:tcPr>
            <w:tcW w:w="4144" w:type="dxa"/>
          </w:tcPr>
          <w:p w:rsidR="004A1BEA" w:rsidRPr="00D03208" w:rsidRDefault="004A1BEA" w:rsidP="00250DC7">
            <w:pPr>
              <w:jc w:val="both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12000-00</w:t>
            </w:r>
          </w:p>
        </w:tc>
      </w:tr>
    </w:tbl>
    <w:p w:rsidR="004A1BEA" w:rsidRPr="00D03208" w:rsidRDefault="004A1BEA" w:rsidP="004A1BEA">
      <w:pPr>
        <w:rPr>
          <w:color w:val="0F243E" w:themeColor="text2" w:themeShade="80"/>
        </w:rPr>
      </w:pPr>
    </w:p>
    <w:p w:rsidR="00EE5779" w:rsidRDefault="00431F3E"/>
    <w:sectPr w:rsidR="00EE5779" w:rsidSect="0040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BEA"/>
    <w:rsid w:val="00043DFE"/>
    <w:rsid w:val="002B4C6E"/>
    <w:rsid w:val="00431F3E"/>
    <w:rsid w:val="004A1BEA"/>
    <w:rsid w:val="007F2D7C"/>
    <w:rsid w:val="00CF14BD"/>
    <w:rsid w:val="00E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8FA5"/>
  <w15:docId w15:val="{99E97018-49F8-4898-89CE-25124076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B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TableGrid">
    <w:name w:val="Table Grid"/>
    <w:basedOn w:val="TableNormal"/>
    <w:uiPriority w:val="59"/>
    <w:rsid w:val="004A1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E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E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Михеева Анна Евгеньевна</cp:lastModifiedBy>
  <cp:revision>4</cp:revision>
  <dcterms:created xsi:type="dcterms:W3CDTF">2021-08-17T13:23:00Z</dcterms:created>
  <dcterms:modified xsi:type="dcterms:W3CDTF">2021-12-23T10:06:00Z</dcterms:modified>
</cp:coreProperties>
</file>